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Ind w:w="108" w:type="dxa"/>
        <w:shd w:val="clear" w:color="auto" w:fill="FFFFFF"/>
        <w:tblCellMar>
          <w:left w:w="0" w:type="dxa"/>
          <w:right w:w="0" w:type="dxa"/>
        </w:tblCellMar>
        <w:tblLook w:val="04A0" w:firstRow="1" w:lastRow="0" w:firstColumn="1" w:lastColumn="0" w:noHBand="0" w:noVBand="1"/>
      </w:tblPr>
      <w:tblGrid>
        <w:gridCol w:w="3240"/>
        <w:gridCol w:w="5760"/>
      </w:tblGrid>
      <w:tr w:rsidR="00BB0BEE" w:rsidRPr="00BB0BEE" w:rsidTr="00BB0BEE">
        <w:trPr>
          <w:trHeight w:val="900"/>
        </w:trPr>
        <w:tc>
          <w:tcPr>
            <w:tcW w:w="3240" w:type="dxa"/>
            <w:tcBorders>
              <w:top w:val="nil"/>
              <w:left w:val="nil"/>
              <w:bottom w:val="nil"/>
              <w:right w:val="nil"/>
            </w:tcBorders>
            <w:shd w:val="clear" w:color="auto" w:fill="auto"/>
            <w:tcMar>
              <w:top w:w="0" w:type="dxa"/>
              <w:left w:w="108" w:type="dxa"/>
              <w:bottom w:w="0" w:type="dxa"/>
              <w:right w:w="108" w:type="dxa"/>
            </w:tcMar>
            <w:hideMark/>
          </w:tcPr>
          <w:p w:rsidR="00BB0BEE" w:rsidRPr="00BB0BEE" w:rsidRDefault="00BB0BEE" w:rsidP="00BB0BEE">
            <w:pPr>
              <w:spacing w:before="100" w:beforeAutospacing="1" w:after="100" w:afterAutospacing="1" w:line="240" w:lineRule="auto"/>
              <w:jc w:val="center"/>
              <w:rPr>
                <w:rFonts w:ascii="Arial" w:eastAsia="Times New Roman" w:hAnsi="Arial" w:cs="Arial"/>
                <w:color w:val="000000"/>
                <w:sz w:val="24"/>
                <w:szCs w:val="20"/>
                <w:lang w:val="en-US"/>
              </w:rPr>
            </w:pPr>
            <w:r w:rsidRPr="00BB0BEE">
              <w:rPr>
                <w:rFonts w:ascii="Arial" w:eastAsia="Times New Roman" w:hAnsi="Arial" w:cs="Arial"/>
                <w:b/>
                <w:bCs/>
                <w:color w:val="000000"/>
                <w:sz w:val="24"/>
                <w:szCs w:val="20"/>
                <w:lang w:val="en-US"/>
              </w:rPr>
              <w:t>ỦY BAN THƯỜNG VỤ </w:t>
            </w:r>
            <w:r w:rsidRPr="00BB0BEE">
              <w:rPr>
                <w:rFonts w:ascii="Arial" w:eastAsia="Times New Roman" w:hAnsi="Arial" w:cs="Arial"/>
                <w:b/>
                <w:bCs/>
                <w:color w:val="000000"/>
                <w:sz w:val="24"/>
                <w:szCs w:val="20"/>
                <w:lang w:val="en-US"/>
              </w:rPr>
              <w:br/>
              <w:t>QUỐC HỘI</w:t>
            </w:r>
            <w:r w:rsidRPr="00BB0BEE">
              <w:rPr>
                <w:rFonts w:ascii="Arial" w:eastAsia="Times New Roman" w:hAnsi="Arial" w:cs="Arial"/>
                <w:b/>
                <w:bCs/>
                <w:color w:val="000000"/>
                <w:sz w:val="24"/>
                <w:szCs w:val="20"/>
                <w:lang w:val="en-US"/>
              </w:rPr>
              <w:br/>
              <w:t>--------------</w:t>
            </w:r>
          </w:p>
          <w:p w:rsidR="00BB0BEE" w:rsidRPr="00BB0BEE" w:rsidRDefault="00BB0BEE" w:rsidP="00BB0BEE">
            <w:pPr>
              <w:spacing w:before="100" w:beforeAutospacing="1" w:after="100" w:afterAutospacing="1" w:line="240" w:lineRule="auto"/>
              <w:jc w:val="center"/>
              <w:rPr>
                <w:rFonts w:ascii="Arial" w:eastAsia="Times New Roman" w:hAnsi="Arial" w:cs="Arial"/>
                <w:color w:val="000000"/>
                <w:sz w:val="24"/>
                <w:szCs w:val="20"/>
                <w:lang w:val="en-US"/>
              </w:rPr>
            </w:pPr>
            <w:r w:rsidRPr="00BB0BEE">
              <w:rPr>
                <w:rFonts w:ascii="Arial" w:eastAsia="Times New Roman" w:hAnsi="Arial" w:cs="Arial"/>
                <w:color w:val="000000"/>
                <w:sz w:val="24"/>
                <w:szCs w:val="20"/>
                <w:lang w:val="en-US"/>
              </w:rPr>
              <w:t>Số: </w:t>
            </w:r>
            <w:r w:rsidRPr="00BB0BEE">
              <w:rPr>
                <w:rFonts w:ascii="Arial" w:eastAsia="Times New Roman" w:hAnsi="Arial" w:cs="Arial"/>
                <w:sz w:val="24"/>
                <w:szCs w:val="20"/>
                <w:lang w:val="en-US"/>
              </w:rPr>
              <w:t>494/NQ-UBTVQH13</w:t>
            </w:r>
          </w:p>
        </w:tc>
        <w:tc>
          <w:tcPr>
            <w:tcW w:w="5760" w:type="dxa"/>
            <w:tcBorders>
              <w:top w:val="nil"/>
              <w:left w:val="nil"/>
              <w:bottom w:val="nil"/>
              <w:right w:val="nil"/>
            </w:tcBorders>
            <w:shd w:val="clear" w:color="auto" w:fill="auto"/>
            <w:tcMar>
              <w:top w:w="0" w:type="dxa"/>
              <w:left w:w="108" w:type="dxa"/>
              <w:bottom w:w="0" w:type="dxa"/>
              <w:right w:w="108" w:type="dxa"/>
            </w:tcMar>
            <w:hideMark/>
          </w:tcPr>
          <w:p w:rsidR="00BB0BEE" w:rsidRPr="00BB0BEE" w:rsidRDefault="00BB0BEE" w:rsidP="00BB0BEE">
            <w:pPr>
              <w:spacing w:before="100" w:beforeAutospacing="1" w:after="100" w:afterAutospacing="1" w:line="240" w:lineRule="auto"/>
              <w:jc w:val="center"/>
              <w:rPr>
                <w:rFonts w:ascii="Arial" w:eastAsia="Times New Roman" w:hAnsi="Arial" w:cs="Arial"/>
                <w:color w:val="000000"/>
                <w:sz w:val="24"/>
                <w:szCs w:val="20"/>
                <w:lang w:val="en-US"/>
              </w:rPr>
            </w:pPr>
            <w:r w:rsidRPr="00BB0BEE">
              <w:rPr>
                <w:rFonts w:ascii="Arial" w:eastAsia="Times New Roman" w:hAnsi="Arial" w:cs="Arial"/>
                <w:b/>
                <w:bCs/>
                <w:color w:val="000000"/>
                <w:sz w:val="24"/>
                <w:szCs w:val="20"/>
                <w:lang w:val="en-US"/>
              </w:rPr>
              <w:t>CỘNG HÒA XÃ HỘI CHỦ NGHĨA VIỆT NAM</w:t>
            </w:r>
            <w:r w:rsidRPr="00BB0BEE">
              <w:rPr>
                <w:rFonts w:ascii="Arial" w:eastAsia="Times New Roman" w:hAnsi="Arial" w:cs="Arial"/>
                <w:b/>
                <w:bCs/>
                <w:color w:val="000000"/>
                <w:sz w:val="24"/>
                <w:szCs w:val="20"/>
                <w:lang w:val="en-US"/>
              </w:rPr>
              <w:br/>
              <w:t>Độc lập - Tự do - Hạnh phúc</w:t>
            </w:r>
            <w:r w:rsidRPr="00BB0BEE">
              <w:rPr>
                <w:rFonts w:ascii="Arial" w:eastAsia="Times New Roman" w:hAnsi="Arial" w:cs="Arial"/>
                <w:b/>
                <w:bCs/>
                <w:color w:val="000000"/>
                <w:sz w:val="24"/>
                <w:szCs w:val="20"/>
                <w:lang w:val="en-US"/>
              </w:rPr>
              <w:br/>
              <w:t>---------------------</w:t>
            </w:r>
            <w:bookmarkStart w:id="0" w:name="_GoBack"/>
            <w:bookmarkEnd w:id="0"/>
            <w:r w:rsidRPr="00BB0BEE">
              <w:rPr>
                <w:rFonts w:ascii="Arial" w:eastAsia="Times New Roman" w:hAnsi="Arial" w:cs="Arial"/>
                <w:b/>
                <w:bCs/>
                <w:color w:val="000000"/>
                <w:sz w:val="24"/>
                <w:szCs w:val="20"/>
                <w:lang w:val="en-US"/>
              </w:rPr>
              <w:t>--</w:t>
            </w:r>
          </w:p>
          <w:p w:rsidR="00BB0BEE" w:rsidRPr="00BB0BEE" w:rsidRDefault="00BB0BEE" w:rsidP="00BB0BEE">
            <w:pPr>
              <w:spacing w:before="100" w:beforeAutospacing="1" w:after="100" w:afterAutospacing="1" w:line="240" w:lineRule="auto"/>
              <w:jc w:val="right"/>
              <w:rPr>
                <w:rFonts w:ascii="Arial" w:eastAsia="Times New Roman" w:hAnsi="Arial" w:cs="Arial"/>
                <w:color w:val="000000"/>
                <w:sz w:val="24"/>
                <w:szCs w:val="20"/>
                <w:lang w:val="en-US"/>
              </w:rPr>
            </w:pPr>
            <w:r w:rsidRPr="00BB0BEE">
              <w:rPr>
                <w:rFonts w:ascii="Arial" w:eastAsia="Times New Roman" w:hAnsi="Arial" w:cs="Arial"/>
                <w:i/>
                <w:iCs/>
                <w:color w:val="000000"/>
                <w:sz w:val="24"/>
                <w:szCs w:val="20"/>
                <w:lang w:val="en-US"/>
              </w:rPr>
              <w:t>Hà Nội, ngày 18 tháng 05 năm 2012</w:t>
            </w:r>
          </w:p>
        </w:tc>
      </w:tr>
    </w:tbl>
    <w:p w:rsidR="00BB0BEE" w:rsidRPr="00BB0BEE" w:rsidRDefault="00BB0BEE" w:rsidP="00BB0BEE">
      <w:pPr>
        <w:shd w:val="clear" w:color="auto" w:fill="FFFFFF"/>
        <w:spacing w:after="0" w:line="240" w:lineRule="auto"/>
        <w:rPr>
          <w:rFonts w:ascii="Arial" w:eastAsia="Times New Roman" w:hAnsi="Arial" w:cs="Arial"/>
          <w:color w:val="000000"/>
          <w:sz w:val="20"/>
          <w:szCs w:val="20"/>
          <w:lang w:val="en-US"/>
        </w:rPr>
      </w:pPr>
      <w:r w:rsidRPr="00BB0BEE">
        <w:rPr>
          <w:rFonts w:ascii="Arial" w:eastAsia="Times New Roman" w:hAnsi="Arial" w:cs="Arial"/>
          <w:color w:val="000000"/>
          <w:sz w:val="20"/>
          <w:szCs w:val="20"/>
          <w:lang w:val="en-US"/>
        </w:rPr>
        <w:t> </w:t>
      </w:r>
    </w:p>
    <w:p w:rsidR="00BB0BEE" w:rsidRPr="00BB0BEE" w:rsidRDefault="00BB0BEE" w:rsidP="00BB0BEE">
      <w:pPr>
        <w:shd w:val="clear" w:color="auto" w:fill="FFFFFF"/>
        <w:spacing w:after="0" w:line="240" w:lineRule="auto"/>
        <w:rPr>
          <w:rFonts w:ascii="Arial" w:eastAsia="Times New Roman" w:hAnsi="Arial" w:cs="Arial"/>
          <w:color w:val="000000"/>
          <w:sz w:val="20"/>
          <w:szCs w:val="20"/>
          <w:lang w:val="en-US"/>
        </w:rPr>
      </w:pPr>
      <w:r w:rsidRPr="00BB0BEE">
        <w:rPr>
          <w:rFonts w:ascii="Arial" w:eastAsia="Times New Roman" w:hAnsi="Arial" w:cs="Arial"/>
          <w:color w:val="000000"/>
          <w:sz w:val="20"/>
          <w:szCs w:val="20"/>
          <w:lang w:val="en-US"/>
        </w:rPr>
        <w:t> </w:t>
      </w:r>
    </w:p>
    <w:p w:rsidR="00BB0BEE" w:rsidRPr="00BB0BEE" w:rsidRDefault="00BB0BEE" w:rsidP="00BB0BEE">
      <w:pPr>
        <w:shd w:val="clear" w:color="auto" w:fill="FFFFFF"/>
        <w:spacing w:after="0" w:line="240" w:lineRule="auto"/>
        <w:jc w:val="center"/>
        <w:rPr>
          <w:rFonts w:ascii="Arial" w:eastAsia="Times New Roman" w:hAnsi="Arial" w:cs="Arial"/>
          <w:color w:val="000000"/>
          <w:sz w:val="24"/>
          <w:szCs w:val="20"/>
          <w:lang w:val="en-US"/>
        </w:rPr>
      </w:pPr>
      <w:r w:rsidRPr="00BB0BEE">
        <w:rPr>
          <w:rFonts w:ascii="Arial" w:eastAsia="Times New Roman" w:hAnsi="Arial" w:cs="Arial"/>
          <w:b/>
          <w:bCs/>
          <w:color w:val="000000"/>
          <w:sz w:val="24"/>
          <w:szCs w:val="20"/>
          <w:lang w:val="en-US"/>
        </w:rPr>
        <w:t>NGHỊ QUYẾT</w:t>
      </w:r>
    </w:p>
    <w:p w:rsidR="00BB0BEE" w:rsidRPr="00BB0BEE" w:rsidRDefault="00BB0BEE" w:rsidP="00BB0BEE">
      <w:pPr>
        <w:shd w:val="clear" w:color="auto" w:fill="FFFFFF"/>
        <w:spacing w:after="0" w:line="240" w:lineRule="auto"/>
        <w:jc w:val="center"/>
        <w:rPr>
          <w:rFonts w:ascii="Arial" w:eastAsia="Times New Roman" w:hAnsi="Arial" w:cs="Arial"/>
          <w:color w:val="000000"/>
          <w:sz w:val="24"/>
          <w:szCs w:val="20"/>
          <w:lang w:val="en-US"/>
        </w:rPr>
      </w:pPr>
      <w:r w:rsidRPr="00BB0BEE">
        <w:rPr>
          <w:rFonts w:ascii="Arial" w:eastAsia="Times New Roman" w:hAnsi="Arial" w:cs="Arial"/>
          <w:b/>
          <w:bCs/>
          <w:color w:val="000000"/>
          <w:sz w:val="24"/>
          <w:szCs w:val="20"/>
          <w:lang w:val="en-US"/>
        </w:rPr>
        <w:t>VỀ KẾT QUẢ GIÁM SÁT VIỆC THỰC HIỆN CHÍNH SÁCH, PHÁP LUẬT</w:t>
      </w:r>
    </w:p>
    <w:p w:rsidR="00BB0BEE" w:rsidRPr="00BB0BEE" w:rsidRDefault="00BB0BEE" w:rsidP="00BB0BEE">
      <w:pPr>
        <w:shd w:val="clear" w:color="auto" w:fill="FFFFFF"/>
        <w:spacing w:after="0" w:line="240" w:lineRule="auto"/>
        <w:jc w:val="center"/>
        <w:rPr>
          <w:rFonts w:ascii="Arial" w:eastAsia="Times New Roman" w:hAnsi="Arial" w:cs="Arial"/>
          <w:color w:val="000000"/>
          <w:sz w:val="24"/>
          <w:szCs w:val="20"/>
          <w:lang w:val="en-US"/>
        </w:rPr>
      </w:pPr>
      <w:r w:rsidRPr="00BB0BEE">
        <w:rPr>
          <w:rFonts w:ascii="Arial" w:eastAsia="Times New Roman" w:hAnsi="Arial" w:cs="Arial"/>
          <w:b/>
          <w:bCs/>
          <w:color w:val="000000"/>
          <w:sz w:val="24"/>
          <w:szCs w:val="20"/>
          <w:lang w:val="en-US"/>
        </w:rPr>
        <w:t>VỀ NGƯỜI CÓ CÔNG VỚI CÁCH MẠNG</w:t>
      </w:r>
    </w:p>
    <w:p w:rsidR="00BB0BEE" w:rsidRPr="00BB0BEE" w:rsidRDefault="00BB0BEE" w:rsidP="00BB0BEE">
      <w:pPr>
        <w:shd w:val="clear" w:color="auto" w:fill="FFFFFF"/>
        <w:spacing w:after="0" w:line="240" w:lineRule="auto"/>
        <w:jc w:val="center"/>
        <w:rPr>
          <w:rFonts w:ascii="Arial" w:eastAsia="Times New Roman" w:hAnsi="Arial" w:cs="Arial"/>
          <w:color w:val="000000"/>
          <w:sz w:val="24"/>
          <w:szCs w:val="20"/>
          <w:lang w:val="en-US"/>
        </w:rPr>
      </w:pPr>
      <w:r w:rsidRPr="00BB0BEE">
        <w:rPr>
          <w:rFonts w:ascii="Arial" w:eastAsia="Times New Roman" w:hAnsi="Arial" w:cs="Arial"/>
          <w:color w:val="000000"/>
          <w:sz w:val="24"/>
          <w:szCs w:val="20"/>
          <w:lang w:val="en-US"/>
        </w:rPr>
        <w:t>-------------------------</w:t>
      </w:r>
    </w:p>
    <w:p w:rsidR="00BB0BEE" w:rsidRPr="00BB0BEE" w:rsidRDefault="00BB0BEE" w:rsidP="00BB0BEE">
      <w:pPr>
        <w:shd w:val="clear" w:color="auto" w:fill="FFFFFF"/>
        <w:spacing w:after="0" w:line="240" w:lineRule="auto"/>
        <w:jc w:val="center"/>
        <w:rPr>
          <w:rFonts w:ascii="Arial" w:eastAsia="Times New Roman" w:hAnsi="Arial" w:cs="Arial"/>
          <w:color w:val="000000"/>
          <w:sz w:val="24"/>
          <w:szCs w:val="20"/>
          <w:lang w:val="en-US"/>
        </w:rPr>
      </w:pPr>
      <w:r w:rsidRPr="00BB0BEE">
        <w:rPr>
          <w:rFonts w:ascii="Arial" w:eastAsia="Times New Roman" w:hAnsi="Arial" w:cs="Arial"/>
          <w:color w:val="000000"/>
          <w:sz w:val="24"/>
          <w:szCs w:val="20"/>
          <w:lang w:val="en-US"/>
        </w:rPr>
        <w:t>ỦY BAN THƯỜNG VỤ QUỐC HỘI</w:t>
      </w:r>
    </w:p>
    <w:p w:rsidR="00BB0BEE" w:rsidRPr="00BB0BEE" w:rsidRDefault="00BB0BEE" w:rsidP="00BB0BEE">
      <w:pPr>
        <w:shd w:val="clear" w:color="auto" w:fill="FFFFFF"/>
        <w:spacing w:after="0" w:line="240" w:lineRule="auto"/>
        <w:jc w:val="center"/>
        <w:rPr>
          <w:rFonts w:ascii="Arial" w:eastAsia="Times New Roman" w:hAnsi="Arial" w:cs="Arial"/>
          <w:color w:val="000000"/>
          <w:sz w:val="20"/>
          <w:szCs w:val="20"/>
          <w:lang w:val="en-US"/>
        </w:rPr>
      </w:pPr>
      <w:r w:rsidRPr="00BB0BEE">
        <w:rPr>
          <w:rFonts w:ascii="Arial" w:eastAsia="Times New Roman" w:hAnsi="Arial" w:cs="Arial"/>
          <w:color w:val="000000"/>
          <w:sz w:val="20"/>
          <w:szCs w:val="20"/>
          <w:lang w:val="en-US"/>
        </w:rPr>
        <w:t> </w:t>
      </w:r>
    </w:p>
    <w:p w:rsidR="00BB0BEE" w:rsidRPr="00BB0BEE" w:rsidRDefault="00BB0BEE" w:rsidP="00BB0BEE">
      <w:pPr>
        <w:shd w:val="clear" w:color="auto" w:fill="FFFFFF"/>
        <w:spacing w:after="0" w:line="240" w:lineRule="auto"/>
        <w:jc w:val="center"/>
        <w:rPr>
          <w:rFonts w:ascii="Arial" w:eastAsia="Times New Roman" w:hAnsi="Arial" w:cs="Arial"/>
          <w:color w:val="000000"/>
          <w:sz w:val="20"/>
          <w:szCs w:val="20"/>
          <w:lang w:val="en-US"/>
        </w:rPr>
      </w:pPr>
      <w:r w:rsidRPr="00BB0BEE">
        <w:rPr>
          <w:rFonts w:ascii="Arial" w:eastAsia="Times New Roman" w:hAnsi="Arial" w:cs="Arial"/>
          <w:color w:val="000000"/>
          <w:sz w:val="20"/>
          <w:szCs w:val="20"/>
          <w:lang w:val="en-US"/>
        </w:rPr>
        <w:t> </w:t>
      </w:r>
    </w:p>
    <w:p w:rsidR="00BB0BEE" w:rsidRPr="00BB0BEE" w:rsidRDefault="00BB0BEE" w:rsidP="00BB0BEE">
      <w:pPr>
        <w:shd w:val="clear" w:color="auto" w:fill="FFFFFF"/>
        <w:spacing w:after="120" w:line="240" w:lineRule="auto"/>
        <w:ind w:firstLine="720"/>
        <w:rPr>
          <w:rFonts w:ascii="Arial" w:eastAsia="Times New Roman" w:hAnsi="Arial" w:cs="Arial"/>
          <w:color w:val="000000"/>
          <w:sz w:val="24"/>
          <w:szCs w:val="20"/>
          <w:lang w:val="en-US"/>
        </w:rPr>
      </w:pPr>
      <w:r w:rsidRPr="00BB0BEE">
        <w:rPr>
          <w:rFonts w:ascii="Arial" w:eastAsia="Times New Roman" w:hAnsi="Arial" w:cs="Arial"/>
          <w:i/>
          <w:iCs/>
          <w:color w:val="000000"/>
          <w:sz w:val="24"/>
          <w:szCs w:val="20"/>
          <w:lang w:val="en-US"/>
        </w:rPr>
        <w:t>Căn cứ Hiến pháp nước Cộng hòa xã hội chủ nghĩa Việt Nam năm 1992 đã được sửa đổi, bổ sung một số điều theo Nghị quyết số </w:t>
      </w:r>
      <w:r w:rsidRPr="00BB0BEE">
        <w:rPr>
          <w:rFonts w:ascii="Arial" w:eastAsia="Times New Roman" w:hAnsi="Arial" w:cs="Arial"/>
          <w:i/>
          <w:iCs/>
          <w:sz w:val="24"/>
          <w:szCs w:val="20"/>
          <w:lang w:val="en-US"/>
        </w:rPr>
        <w:t>51/2001/QH10</w:t>
      </w:r>
      <w:r w:rsidRPr="00BB0BEE">
        <w:rPr>
          <w:rFonts w:ascii="Arial" w:eastAsia="Times New Roman" w:hAnsi="Arial" w:cs="Arial"/>
          <w:i/>
          <w:iCs/>
          <w:color w:val="000000"/>
          <w:sz w:val="24"/>
          <w:szCs w:val="20"/>
          <w:lang w:val="en-US"/>
        </w:rPr>
        <w:t>;</w:t>
      </w:r>
    </w:p>
    <w:p w:rsidR="00BB0BEE" w:rsidRPr="00BB0BEE" w:rsidRDefault="00BB0BEE" w:rsidP="00BB0BEE">
      <w:pPr>
        <w:shd w:val="clear" w:color="auto" w:fill="FFFFFF"/>
        <w:spacing w:after="120" w:line="240" w:lineRule="auto"/>
        <w:ind w:firstLine="720"/>
        <w:rPr>
          <w:rFonts w:ascii="Arial" w:eastAsia="Times New Roman" w:hAnsi="Arial" w:cs="Arial"/>
          <w:color w:val="000000"/>
          <w:sz w:val="24"/>
          <w:szCs w:val="20"/>
          <w:lang w:val="en-US"/>
        </w:rPr>
      </w:pPr>
      <w:r w:rsidRPr="00BB0BEE">
        <w:rPr>
          <w:rFonts w:ascii="Arial" w:eastAsia="Times New Roman" w:hAnsi="Arial" w:cs="Arial"/>
          <w:i/>
          <w:iCs/>
          <w:color w:val="000000"/>
          <w:sz w:val="24"/>
          <w:szCs w:val="20"/>
          <w:lang w:val="en-US"/>
        </w:rPr>
        <w:t>Căn cứ Luật hoạt động giám sát của Quốc hội;</w:t>
      </w:r>
    </w:p>
    <w:p w:rsidR="00BB0BEE" w:rsidRPr="00BB0BEE" w:rsidRDefault="00BB0BEE" w:rsidP="00BB0BEE">
      <w:pPr>
        <w:shd w:val="clear" w:color="auto" w:fill="FFFFFF"/>
        <w:spacing w:after="120" w:line="240" w:lineRule="auto"/>
        <w:ind w:firstLine="720"/>
        <w:rPr>
          <w:rFonts w:ascii="Arial" w:eastAsia="Times New Roman" w:hAnsi="Arial" w:cs="Arial"/>
          <w:color w:val="000000"/>
          <w:sz w:val="24"/>
          <w:szCs w:val="20"/>
          <w:lang w:val="en-US"/>
        </w:rPr>
      </w:pPr>
      <w:r w:rsidRPr="00BB0BEE">
        <w:rPr>
          <w:rFonts w:ascii="Arial" w:eastAsia="Times New Roman" w:hAnsi="Arial" w:cs="Arial"/>
          <w:i/>
          <w:iCs/>
          <w:color w:val="000000"/>
          <w:sz w:val="24"/>
          <w:szCs w:val="20"/>
          <w:lang w:val="en-US"/>
        </w:rPr>
        <w:t xml:space="preserve">Căn cứ Nghị quyết </w:t>
      </w:r>
      <w:r w:rsidRPr="00BB0BEE">
        <w:rPr>
          <w:rFonts w:ascii="Arial" w:eastAsia="Times New Roman" w:hAnsi="Arial" w:cs="Arial"/>
          <w:i/>
          <w:iCs/>
          <w:sz w:val="24"/>
          <w:szCs w:val="20"/>
          <w:lang w:val="en-US"/>
        </w:rPr>
        <w:t>số 407/NQ-UBTVQH13</w:t>
      </w:r>
      <w:r w:rsidRPr="00BB0BEE">
        <w:rPr>
          <w:rFonts w:ascii="Arial" w:eastAsia="Times New Roman" w:hAnsi="Arial" w:cs="Arial"/>
          <w:i/>
          <w:iCs/>
          <w:color w:val="000000"/>
          <w:sz w:val="24"/>
          <w:szCs w:val="20"/>
          <w:lang w:val="en-US"/>
        </w:rPr>
        <w:t> ngày 22 tháng 11 năm 2011 của Ủy ban thường vụ Quốc hội về Chương trình hoạt động giám sát của Ủy ban thường vụ Quốc hội năm 2012;</w:t>
      </w:r>
    </w:p>
    <w:p w:rsidR="00BB0BEE" w:rsidRPr="00BB0BEE" w:rsidRDefault="00BB0BEE" w:rsidP="00BB0BEE">
      <w:pPr>
        <w:shd w:val="clear" w:color="auto" w:fill="FFFFFF"/>
        <w:spacing w:after="120" w:line="240" w:lineRule="auto"/>
        <w:ind w:firstLine="720"/>
        <w:rPr>
          <w:rFonts w:ascii="Arial" w:eastAsia="Times New Roman" w:hAnsi="Arial" w:cs="Arial"/>
          <w:color w:val="000000"/>
          <w:sz w:val="24"/>
          <w:szCs w:val="20"/>
          <w:lang w:val="en-US"/>
        </w:rPr>
      </w:pPr>
      <w:r w:rsidRPr="00BB0BEE">
        <w:rPr>
          <w:rFonts w:ascii="Arial" w:eastAsia="Times New Roman" w:hAnsi="Arial" w:cs="Arial"/>
          <w:i/>
          <w:iCs/>
          <w:color w:val="000000"/>
          <w:sz w:val="24"/>
          <w:szCs w:val="20"/>
          <w:lang w:val="en-US"/>
        </w:rPr>
        <w:t>Trên cơ sở xem xét Báo cáo kết quả giám sát số </w:t>
      </w:r>
      <w:r w:rsidRPr="00BB0BEE">
        <w:rPr>
          <w:rFonts w:ascii="Arial" w:eastAsia="Times New Roman" w:hAnsi="Arial" w:cs="Arial"/>
          <w:i/>
          <w:iCs/>
          <w:sz w:val="24"/>
          <w:szCs w:val="20"/>
          <w:lang w:val="en-US"/>
        </w:rPr>
        <w:t>120/BC-ĐGS </w:t>
      </w:r>
      <w:r w:rsidRPr="00BB0BEE">
        <w:rPr>
          <w:rFonts w:ascii="Arial" w:eastAsia="Times New Roman" w:hAnsi="Arial" w:cs="Arial"/>
          <w:i/>
          <w:iCs/>
          <w:color w:val="000000"/>
          <w:sz w:val="24"/>
          <w:szCs w:val="20"/>
          <w:lang w:val="en-US"/>
        </w:rPr>
        <w:t>ngày 12 tháng 4 năm 2012 của Đoàn giám sát của Ủy ban thường vụ Quốc hội, Báo cáo số </w:t>
      </w:r>
      <w:r w:rsidRPr="00BB0BEE">
        <w:rPr>
          <w:rFonts w:ascii="Arial" w:eastAsia="Times New Roman" w:hAnsi="Arial" w:cs="Arial"/>
          <w:i/>
          <w:iCs/>
          <w:sz w:val="24"/>
          <w:szCs w:val="20"/>
          <w:lang w:val="en-US"/>
        </w:rPr>
        <w:t>31/BC-CP</w:t>
      </w:r>
      <w:r w:rsidRPr="00BB0BEE">
        <w:rPr>
          <w:rFonts w:ascii="Arial" w:eastAsia="Times New Roman" w:hAnsi="Arial" w:cs="Arial"/>
          <w:i/>
          <w:iCs/>
          <w:color w:val="000000"/>
          <w:sz w:val="24"/>
          <w:szCs w:val="20"/>
          <w:lang w:val="en-US"/>
        </w:rPr>
        <w:t> ngày 29 tháng 2 năm 2012 của Chính phủ về việc thực hiện chính sách, pháp luật ưu đãi về người có công với cách mạng,</w:t>
      </w:r>
    </w:p>
    <w:p w:rsidR="00BB0BEE" w:rsidRPr="00BB0BEE" w:rsidRDefault="00BB0BEE" w:rsidP="00BB0BEE">
      <w:pPr>
        <w:shd w:val="clear" w:color="auto" w:fill="FFFFFF"/>
        <w:spacing w:after="0" w:line="240" w:lineRule="auto"/>
        <w:rPr>
          <w:rFonts w:ascii="Arial" w:eastAsia="Times New Roman" w:hAnsi="Arial" w:cs="Arial"/>
          <w:color w:val="000000"/>
          <w:sz w:val="20"/>
          <w:szCs w:val="20"/>
          <w:lang w:val="en-US"/>
        </w:rPr>
      </w:pPr>
      <w:r w:rsidRPr="00BB0BEE">
        <w:rPr>
          <w:rFonts w:ascii="Arial" w:eastAsia="Times New Roman" w:hAnsi="Arial" w:cs="Arial"/>
          <w:color w:val="000000"/>
          <w:sz w:val="20"/>
          <w:szCs w:val="20"/>
          <w:lang w:val="en-US"/>
        </w:rPr>
        <w:t> </w:t>
      </w:r>
    </w:p>
    <w:p w:rsidR="00BB0BEE" w:rsidRPr="00BB0BEE" w:rsidRDefault="00BB0BEE" w:rsidP="00BB0BEE">
      <w:pPr>
        <w:shd w:val="clear" w:color="auto" w:fill="FFFFFF"/>
        <w:spacing w:after="0" w:line="240" w:lineRule="auto"/>
        <w:rPr>
          <w:rFonts w:ascii="Arial" w:eastAsia="Times New Roman" w:hAnsi="Arial" w:cs="Arial"/>
          <w:color w:val="000000"/>
          <w:sz w:val="20"/>
          <w:szCs w:val="20"/>
          <w:lang w:val="en-US"/>
        </w:rPr>
      </w:pPr>
      <w:r w:rsidRPr="00BB0BEE">
        <w:rPr>
          <w:rFonts w:ascii="Arial" w:eastAsia="Times New Roman" w:hAnsi="Arial" w:cs="Arial"/>
          <w:color w:val="000000"/>
          <w:sz w:val="20"/>
          <w:szCs w:val="20"/>
          <w:lang w:val="en-US"/>
        </w:rPr>
        <w:t> </w:t>
      </w:r>
    </w:p>
    <w:p w:rsidR="00BB0BEE" w:rsidRPr="00BB0BEE" w:rsidRDefault="00BB0BEE" w:rsidP="00BB0BEE">
      <w:pPr>
        <w:shd w:val="clear" w:color="auto" w:fill="FFFFFF"/>
        <w:spacing w:after="0" w:line="240" w:lineRule="auto"/>
        <w:jc w:val="center"/>
        <w:rPr>
          <w:rFonts w:ascii="Arial" w:eastAsia="Times New Roman" w:hAnsi="Arial" w:cs="Arial"/>
          <w:color w:val="000000"/>
          <w:sz w:val="24"/>
          <w:szCs w:val="20"/>
          <w:lang w:val="en-US"/>
        </w:rPr>
      </w:pPr>
      <w:r w:rsidRPr="00BB0BEE">
        <w:rPr>
          <w:rFonts w:ascii="Arial" w:eastAsia="Times New Roman" w:hAnsi="Arial" w:cs="Arial"/>
          <w:b/>
          <w:bCs/>
          <w:color w:val="000000"/>
          <w:sz w:val="24"/>
          <w:szCs w:val="20"/>
          <w:lang w:val="en-US"/>
        </w:rPr>
        <w:t>QUYẾT NGHỊ:</w:t>
      </w:r>
    </w:p>
    <w:p w:rsidR="00BB0BEE" w:rsidRPr="00BB0BEE" w:rsidRDefault="00BB0BEE" w:rsidP="00BB0BEE">
      <w:pPr>
        <w:shd w:val="clear" w:color="auto" w:fill="FFFFFF"/>
        <w:spacing w:after="0" w:line="240" w:lineRule="auto"/>
        <w:jc w:val="center"/>
        <w:rPr>
          <w:rFonts w:ascii="Arial" w:eastAsia="Times New Roman" w:hAnsi="Arial" w:cs="Arial"/>
          <w:color w:val="000000"/>
          <w:sz w:val="20"/>
          <w:szCs w:val="20"/>
          <w:lang w:val="en-US"/>
        </w:rPr>
      </w:pPr>
      <w:r w:rsidRPr="00BB0BEE">
        <w:rPr>
          <w:rFonts w:ascii="Arial" w:eastAsia="Times New Roman" w:hAnsi="Arial" w:cs="Arial"/>
          <w:b/>
          <w:bCs/>
          <w:color w:val="000000"/>
          <w:sz w:val="20"/>
          <w:szCs w:val="20"/>
          <w:lang w:val="en-US"/>
        </w:rPr>
        <w:t> </w:t>
      </w:r>
    </w:p>
    <w:p w:rsidR="00BB0BEE" w:rsidRPr="00BB0BEE" w:rsidRDefault="00BB0BEE" w:rsidP="00BB0BEE">
      <w:pPr>
        <w:shd w:val="clear" w:color="auto" w:fill="FFFFFF"/>
        <w:spacing w:after="0" w:line="240" w:lineRule="auto"/>
        <w:jc w:val="center"/>
        <w:rPr>
          <w:rFonts w:ascii="Arial" w:eastAsia="Times New Roman" w:hAnsi="Arial" w:cs="Arial"/>
          <w:color w:val="000000"/>
          <w:sz w:val="20"/>
          <w:szCs w:val="20"/>
          <w:lang w:val="en-US"/>
        </w:rPr>
      </w:pPr>
      <w:r w:rsidRPr="00BB0BEE">
        <w:rPr>
          <w:rFonts w:ascii="Arial" w:eastAsia="Times New Roman" w:hAnsi="Arial" w:cs="Arial"/>
          <w:color w:val="000000"/>
          <w:sz w:val="20"/>
          <w:szCs w:val="20"/>
          <w:lang w:val="en-US"/>
        </w:rPr>
        <w:t> </w:t>
      </w:r>
    </w:p>
    <w:p w:rsidR="00BB0BEE" w:rsidRPr="00BB0BEE" w:rsidRDefault="00BB0BEE" w:rsidP="00BB0BEE">
      <w:pPr>
        <w:shd w:val="clear" w:color="auto" w:fill="FFFFFF"/>
        <w:spacing w:after="120" w:line="240" w:lineRule="auto"/>
        <w:ind w:firstLine="720"/>
        <w:rPr>
          <w:rFonts w:ascii="Arial" w:eastAsia="Times New Roman" w:hAnsi="Arial" w:cs="Arial"/>
          <w:color w:val="000000"/>
          <w:sz w:val="24"/>
          <w:szCs w:val="20"/>
          <w:lang w:val="en-US"/>
        </w:rPr>
      </w:pPr>
      <w:r w:rsidRPr="00BB0BEE">
        <w:rPr>
          <w:rFonts w:ascii="Arial" w:eastAsia="Times New Roman" w:hAnsi="Arial" w:cs="Arial"/>
          <w:b/>
          <w:bCs/>
          <w:color w:val="000000"/>
          <w:sz w:val="24"/>
          <w:szCs w:val="20"/>
          <w:lang w:val="en-US"/>
        </w:rPr>
        <w:t>Điều 1.</w:t>
      </w:r>
    </w:p>
    <w:p w:rsidR="00BB0BEE" w:rsidRPr="00BB0BEE" w:rsidRDefault="00BB0BEE" w:rsidP="00BB0BEE">
      <w:pPr>
        <w:shd w:val="clear" w:color="auto" w:fill="FFFFFF"/>
        <w:spacing w:after="120" w:line="240" w:lineRule="auto"/>
        <w:ind w:firstLine="720"/>
        <w:jc w:val="both"/>
        <w:rPr>
          <w:rFonts w:ascii="Arial" w:eastAsia="Times New Roman" w:hAnsi="Arial" w:cs="Arial"/>
          <w:color w:val="000000"/>
          <w:sz w:val="24"/>
          <w:szCs w:val="20"/>
          <w:lang w:val="en-US"/>
        </w:rPr>
      </w:pPr>
      <w:r w:rsidRPr="00BB0BEE">
        <w:rPr>
          <w:rFonts w:ascii="Arial" w:eastAsia="Times New Roman" w:hAnsi="Arial" w:cs="Arial"/>
          <w:color w:val="000000"/>
          <w:sz w:val="24"/>
          <w:szCs w:val="20"/>
          <w:lang w:val="en-US"/>
        </w:rPr>
        <w:t>Tán thành cơ bản nội dung Báo cáo kết quả giám sát của Đoàn giám sát của Ủy ban thường vụ Quốc hội về việc thực hiện chính sách, pháp luật về người có công với cách mạng về những đánh giá kết quả đạt được, những hạn chế, khó khăn, vướng mắc, nguyên nhân và các kiến nghị, đồng thời nhấn mạnh:</w:t>
      </w:r>
    </w:p>
    <w:p w:rsidR="00BB0BEE" w:rsidRPr="00BB0BEE" w:rsidRDefault="00BB0BEE" w:rsidP="00BB0BEE">
      <w:pPr>
        <w:shd w:val="clear" w:color="auto" w:fill="FFFFFF"/>
        <w:spacing w:after="120" w:line="240" w:lineRule="auto"/>
        <w:ind w:firstLine="720"/>
        <w:jc w:val="both"/>
        <w:rPr>
          <w:rFonts w:ascii="Arial" w:eastAsia="Times New Roman" w:hAnsi="Arial" w:cs="Arial"/>
          <w:color w:val="000000"/>
          <w:sz w:val="24"/>
          <w:szCs w:val="20"/>
          <w:lang w:val="en-US"/>
        </w:rPr>
      </w:pPr>
      <w:r w:rsidRPr="00BB0BEE">
        <w:rPr>
          <w:rFonts w:ascii="Arial" w:eastAsia="Times New Roman" w:hAnsi="Arial" w:cs="Arial"/>
          <w:color w:val="000000"/>
          <w:sz w:val="24"/>
          <w:szCs w:val="20"/>
          <w:lang w:val="en-US"/>
        </w:rPr>
        <w:t>Chính sách ưu đãi người có công với cách mạng là chủ trương lớn, nhất quán của Đảng và Nhà nước. Chính phủ, các bộ, ngành liên quan và các địa phương đã ban hành chính sách, pháp luật và tổ chức tốt việc thi hành. Phong trào đền ơn đáp nghĩa, toàn dân tham gia chăm sóc người có công với cách mạng phát triển sâu rộng, góp phần nâng cao nhận thức, trách nhiệm xã hội và trở thành tình cảm, nét đẹp văn hóa của dân tộc. Về cơ bản, chính sách, pháp luật về người có công với cách mạng đã bảo đảm công bằng và tạo sự đồng thuận cao trong xã hội. Đời sống của người có công với cách mạng đã từng bước được cải thiện và ổn định. Tuy nhiên, việc thực hiện chính sách, pháp luật về người có công với cách mạng còn có một số hạn chế, vướng mắc, một bộ phận người có công với cách mạng và gia đình còn gặp khó khăn trong cuộc sống.</w:t>
      </w:r>
    </w:p>
    <w:p w:rsidR="00BB0BEE" w:rsidRPr="00BB0BEE" w:rsidRDefault="00BB0BEE" w:rsidP="00BB0BEE">
      <w:pPr>
        <w:shd w:val="clear" w:color="auto" w:fill="FFFFFF"/>
        <w:spacing w:after="120" w:line="240" w:lineRule="auto"/>
        <w:ind w:firstLine="720"/>
        <w:rPr>
          <w:rFonts w:ascii="Arial" w:eastAsia="Times New Roman" w:hAnsi="Arial" w:cs="Arial"/>
          <w:color w:val="000000"/>
          <w:sz w:val="24"/>
          <w:szCs w:val="20"/>
          <w:lang w:val="en-US"/>
        </w:rPr>
      </w:pPr>
      <w:r w:rsidRPr="00BB0BEE">
        <w:rPr>
          <w:rFonts w:ascii="Arial" w:eastAsia="Times New Roman" w:hAnsi="Arial" w:cs="Arial"/>
          <w:b/>
          <w:bCs/>
          <w:color w:val="000000"/>
          <w:sz w:val="24"/>
          <w:szCs w:val="20"/>
          <w:lang w:val="en-US"/>
        </w:rPr>
        <w:t>Điều 2.</w:t>
      </w:r>
    </w:p>
    <w:p w:rsidR="00BB0BEE" w:rsidRPr="00BB0BEE" w:rsidRDefault="00BB0BEE" w:rsidP="00BB0BEE">
      <w:pPr>
        <w:shd w:val="clear" w:color="auto" w:fill="FFFFFF"/>
        <w:spacing w:after="120" w:line="240" w:lineRule="auto"/>
        <w:ind w:firstLine="720"/>
        <w:jc w:val="both"/>
        <w:rPr>
          <w:rFonts w:ascii="Arial" w:eastAsia="Times New Roman" w:hAnsi="Arial" w:cs="Arial"/>
          <w:color w:val="000000"/>
          <w:sz w:val="24"/>
          <w:szCs w:val="20"/>
          <w:lang w:val="en-US"/>
        </w:rPr>
      </w:pPr>
      <w:r w:rsidRPr="00BB0BEE">
        <w:rPr>
          <w:rFonts w:ascii="Arial" w:eastAsia="Times New Roman" w:hAnsi="Arial" w:cs="Arial"/>
          <w:color w:val="000000"/>
          <w:sz w:val="24"/>
          <w:szCs w:val="20"/>
          <w:lang w:val="en-US"/>
        </w:rPr>
        <w:t>Ủy ban thường vụ Quốc hội yêu cầu Chính phủ, Thủ tướng Chính phủ tập trung thực hiện một số nhiệm vụ và giải pháp sau đây:</w:t>
      </w:r>
    </w:p>
    <w:p w:rsidR="00BB0BEE" w:rsidRPr="00BB0BEE" w:rsidRDefault="00BB0BEE" w:rsidP="00BB0BEE">
      <w:pPr>
        <w:shd w:val="clear" w:color="auto" w:fill="FFFFFF"/>
        <w:spacing w:after="120" w:line="240" w:lineRule="auto"/>
        <w:ind w:firstLine="720"/>
        <w:jc w:val="both"/>
        <w:rPr>
          <w:rFonts w:ascii="Arial" w:eastAsia="Times New Roman" w:hAnsi="Arial" w:cs="Arial"/>
          <w:color w:val="000000"/>
          <w:sz w:val="24"/>
          <w:szCs w:val="20"/>
          <w:lang w:val="en-US"/>
        </w:rPr>
      </w:pPr>
      <w:r w:rsidRPr="00BB0BEE">
        <w:rPr>
          <w:rFonts w:ascii="Arial" w:eastAsia="Times New Roman" w:hAnsi="Arial" w:cs="Arial"/>
          <w:color w:val="000000"/>
          <w:sz w:val="24"/>
          <w:szCs w:val="20"/>
          <w:lang w:val="en-US"/>
        </w:rPr>
        <w:lastRenderedPageBreak/>
        <w:t>1. Tiếp tục điều chỉnh nâng mức trợ cấp, phụ cấp đối với người có công với cách mạng đồng bộ với lộ trình điều chỉnh tiền lương của cán bộ, công chức nhà nước cùng với việc thực hiện các chính sách ưu đãi khác để bảo đảm mục tiêu người có công với cách mạng có mức sống bằng hoặc cao hơn mức sống trung bình của dân cư nơi cư trú.</w:t>
      </w:r>
    </w:p>
    <w:p w:rsidR="00BB0BEE" w:rsidRPr="00BB0BEE" w:rsidRDefault="00BB0BEE" w:rsidP="00BB0BEE">
      <w:pPr>
        <w:shd w:val="clear" w:color="auto" w:fill="FFFFFF"/>
        <w:spacing w:after="120" w:line="240" w:lineRule="auto"/>
        <w:ind w:firstLine="720"/>
        <w:jc w:val="both"/>
        <w:rPr>
          <w:rFonts w:ascii="Arial" w:eastAsia="Times New Roman" w:hAnsi="Arial" w:cs="Arial"/>
          <w:color w:val="000000"/>
          <w:sz w:val="24"/>
          <w:szCs w:val="20"/>
          <w:lang w:val="en-US"/>
        </w:rPr>
      </w:pPr>
      <w:r w:rsidRPr="00BB0BEE">
        <w:rPr>
          <w:rFonts w:ascii="Arial" w:eastAsia="Times New Roman" w:hAnsi="Arial" w:cs="Arial"/>
          <w:color w:val="000000"/>
          <w:sz w:val="24"/>
          <w:szCs w:val="20"/>
          <w:lang w:val="en-US"/>
        </w:rPr>
        <w:t>2. Tiếp tục thực hiện chính sách hỗ trợ về nhà ở đối với hộ người có công với cách mạng đang ở nhà tạm hoặc nhà bị hư hỏng nặng từ nguồn ngân sách nhà nước và huy động sự tham gia của xã hội, gia đình; chỉ đạo việc xây dựng tiêu chí hỗ trợ và rà soát đối tượng cần hỗ trợ xây mới hoặc sửa chữa nhà ở, cân đối ngân sách để thực hiện cơ bản xong trong hai năm 2012 - 2013. Trước mắt, dành một phần tăng thu ngân sách nhà nước năm 2011 bổ sung dự phòng ngân sách năm 2012 để thực hiện chính sách này.</w:t>
      </w:r>
    </w:p>
    <w:p w:rsidR="00BB0BEE" w:rsidRPr="00BB0BEE" w:rsidRDefault="00BB0BEE" w:rsidP="00BB0BEE">
      <w:pPr>
        <w:shd w:val="clear" w:color="auto" w:fill="FFFFFF"/>
        <w:spacing w:after="120" w:line="240" w:lineRule="auto"/>
        <w:ind w:firstLine="720"/>
        <w:jc w:val="both"/>
        <w:rPr>
          <w:rFonts w:ascii="Arial" w:eastAsia="Times New Roman" w:hAnsi="Arial" w:cs="Arial"/>
          <w:color w:val="000000"/>
          <w:sz w:val="24"/>
          <w:szCs w:val="20"/>
          <w:lang w:val="en-US"/>
        </w:rPr>
      </w:pPr>
      <w:r w:rsidRPr="00BB0BEE">
        <w:rPr>
          <w:rFonts w:ascii="Arial" w:eastAsia="Times New Roman" w:hAnsi="Arial" w:cs="Arial"/>
          <w:color w:val="000000"/>
          <w:sz w:val="24"/>
          <w:szCs w:val="20"/>
          <w:lang w:val="en-US"/>
        </w:rPr>
        <w:t>3. Phê duyệt Đề án tìm kiếm, quy tập hài cốt liệt sỹ và Đề án xác định danh tính hài cốt liệt sỹ còn thiếu thông tin trong năm 2012 để tiếp tục triển khai thực hiện.</w:t>
      </w:r>
    </w:p>
    <w:p w:rsidR="00BB0BEE" w:rsidRPr="00BB0BEE" w:rsidRDefault="00BB0BEE" w:rsidP="00BB0BEE">
      <w:pPr>
        <w:shd w:val="clear" w:color="auto" w:fill="FFFFFF"/>
        <w:spacing w:after="120" w:line="240" w:lineRule="auto"/>
        <w:ind w:firstLine="720"/>
        <w:jc w:val="both"/>
        <w:rPr>
          <w:rFonts w:ascii="Arial" w:eastAsia="Times New Roman" w:hAnsi="Arial" w:cs="Arial"/>
          <w:color w:val="000000"/>
          <w:sz w:val="24"/>
          <w:szCs w:val="20"/>
          <w:lang w:val="en-US"/>
        </w:rPr>
      </w:pPr>
      <w:r w:rsidRPr="00BB0BEE">
        <w:rPr>
          <w:rFonts w:ascii="Arial" w:eastAsia="Times New Roman" w:hAnsi="Arial" w:cs="Arial"/>
          <w:color w:val="000000"/>
          <w:sz w:val="24"/>
          <w:szCs w:val="20"/>
          <w:lang w:val="en-US"/>
        </w:rPr>
        <w:t>4. Hướng dẫn giải quyết các vướng mắc, tồn đọng đối với hồ sơ đề nghị công nhận người có công với cách mạng; tiếp tục cải cách thủ tục hành chính bảo đảm việc xem xét, xác nhận, để người có công với cách mạng được thụ hưởng chính sách thuận lợi, kịp thời, chính xác, đúng quy định.</w:t>
      </w:r>
    </w:p>
    <w:p w:rsidR="00BB0BEE" w:rsidRPr="00BB0BEE" w:rsidRDefault="00BB0BEE" w:rsidP="00BB0BEE">
      <w:pPr>
        <w:shd w:val="clear" w:color="auto" w:fill="FFFFFF"/>
        <w:spacing w:after="120" w:line="240" w:lineRule="auto"/>
        <w:ind w:firstLine="720"/>
        <w:jc w:val="both"/>
        <w:rPr>
          <w:rFonts w:ascii="Arial" w:eastAsia="Times New Roman" w:hAnsi="Arial" w:cs="Arial"/>
          <w:color w:val="000000"/>
          <w:sz w:val="24"/>
          <w:szCs w:val="20"/>
          <w:lang w:val="en-US"/>
        </w:rPr>
      </w:pPr>
      <w:r w:rsidRPr="00BB0BEE">
        <w:rPr>
          <w:rFonts w:ascii="Arial" w:eastAsia="Times New Roman" w:hAnsi="Arial" w:cs="Arial"/>
          <w:color w:val="000000"/>
          <w:sz w:val="24"/>
          <w:szCs w:val="20"/>
          <w:lang w:val="en-US"/>
        </w:rPr>
        <w:t>5. Chỉ đạo các bộ, ngành, Ủy ban nhân dân các cấp tiếp tục đẩy mạnh công tác tuyên truyền, tổ chức thực hiện nghiêm túc; tăng cường công tác thanh tra, kiểm tra và xử lý nghiêm các vi phạm </w:t>
      </w:r>
      <w:r w:rsidRPr="00BB0BEE">
        <w:rPr>
          <w:rFonts w:ascii="Arial" w:eastAsia="Times New Roman" w:hAnsi="Arial" w:cs="Arial"/>
          <w:color w:val="000000"/>
          <w:spacing w:val="-6"/>
          <w:sz w:val="24"/>
          <w:szCs w:val="20"/>
          <w:lang w:val="en-US"/>
        </w:rPr>
        <w:t>pháp luật; vận động xã hội tham gia thực hiện chính sách, pháp luật về người có công với cách mạng.</w:t>
      </w:r>
    </w:p>
    <w:p w:rsidR="00BB0BEE" w:rsidRPr="00BB0BEE" w:rsidRDefault="00BB0BEE" w:rsidP="00BB0BEE">
      <w:pPr>
        <w:shd w:val="clear" w:color="auto" w:fill="FFFFFF"/>
        <w:spacing w:after="120" w:line="240" w:lineRule="auto"/>
        <w:ind w:firstLine="720"/>
        <w:rPr>
          <w:rFonts w:ascii="Arial" w:eastAsia="Times New Roman" w:hAnsi="Arial" w:cs="Arial"/>
          <w:color w:val="000000"/>
          <w:sz w:val="24"/>
          <w:szCs w:val="20"/>
          <w:lang w:val="en-US"/>
        </w:rPr>
      </w:pPr>
      <w:r w:rsidRPr="00BB0BEE">
        <w:rPr>
          <w:rFonts w:ascii="Arial" w:eastAsia="Times New Roman" w:hAnsi="Arial" w:cs="Arial"/>
          <w:b/>
          <w:bCs/>
          <w:color w:val="000000"/>
          <w:sz w:val="24"/>
          <w:szCs w:val="20"/>
          <w:lang w:val="en-US"/>
        </w:rPr>
        <w:t>Điều 3.</w:t>
      </w:r>
    </w:p>
    <w:p w:rsidR="00BB0BEE" w:rsidRPr="00BB0BEE" w:rsidRDefault="00BB0BEE" w:rsidP="00BB0BEE">
      <w:pPr>
        <w:shd w:val="clear" w:color="auto" w:fill="FFFFFF"/>
        <w:spacing w:after="120" w:line="240" w:lineRule="auto"/>
        <w:ind w:firstLine="720"/>
        <w:jc w:val="both"/>
        <w:rPr>
          <w:rFonts w:ascii="Arial" w:eastAsia="Times New Roman" w:hAnsi="Arial" w:cs="Arial"/>
          <w:color w:val="000000"/>
          <w:sz w:val="24"/>
          <w:szCs w:val="20"/>
          <w:lang w:val="en-US"/>
        </w:rPr>
      </w:pPr>
      <w:r w:rsidRPr="00BB0BEE">
        <w:rPr>
          <w:rFonts w:ascii="Arial" w:eastAsia="Times New Roman" w:hAnsi="Arial" w:cs="Arial"/>
          <w:color w:val="000000"/>
          <w:sz w:val="24"/>
          <w:szCs w:val="20"/>
          <w:lang w:val="en-US"/>
        </w:rPr>
        <w:t>1. Kết thúc năm 2013, Chính phủ báo cáo Ủy ban thường vụ Quốc hội kết quả thực hiện Nghị quyết này.</w:t>
      </w:r>
    </w:p>
    <w:p w:rsidR="00BB0BEE" w:rsidRPr="00BB0BEE" w:rsidRDefault="00BB0BEE" w:rsidP="00BB0BEE">
      <w:pPr>
        <w:shd w:val="clear" w:color="auto" w:fill="FFFFFF"/>
        <w:spacing w:after="120" w:line="240" w:lineRule="auto"/>
        <w:ind w:firstLine="720"/>
        <w:jc w:val="both"/>
        <w:rPr>
          <w:rFonts w:ascii="Arial" w:eastAsia="Times New Roman" w:hAnsi="Arial" w:cs="Arial"/>
          <w:color w:val="000000"/>
          <w:sz w:val="24"/>
          <w:szCs w:val="20"/>
          <w:lang w:val="en-US"/>
        </w:rPr>
      </w:pPr>
      <w:r w:rsidRPr="00BB0BEE">
        <w:rPr>
          <w:rFonts w:ascii="Arial" w:eastAsia="Times New Roman" w:hAnsi="Arial" w:cs="Arial"/>
          <w:color w:val="000000"/>
          <w:sz w:val="24"/>
          <w:szCs w:val="20"/>
          <w:lang w:val="en-US"/>
        </w:rPr>
        <w:t>2. Ủy ban thường vụ Quốc hội, Hội đồng dân tộc, các Ủy ban của Quốc hội, Đoàn đại biểu Quốc hội, đại biểu Quốc hội, Hội đồng nhân dân các cấp theo chức năng, nhiệm vụ, quyền hạn của mình giám sát việc thực hiện Nghị quyết này.</w:t>
      </w:r>
    </w:p>
    <w:p w:rsidR="00BB0BEE" w:rsidRPr="00BB0BEE" w:rsidRDefault="00BB0BEE" w:rsidP="00BB0BEE">
      <w:pPr>
        <w:shd w:val="clear" w:color="auto" w:fill="FFFFFF"/>
        <w:spacing w:after="120" w:line="240" w:lineRule="auto"/>
        <w:ind w:firstLine="720"/>
        <w:rPr>
          <w:rFonts w:ascii="Arial" w:eastAsia="Times New Roman" w:hAnsi="Arial" w:cs="Arial"/>
          <w:color w:val="000000"/>
          <w:sz w:val="24"/>
          <w:szCs w:val="20"/>
          <w:lang w:val="en-US"/>
        </w:rPr>
      </w:pPr>
      <w:r w:rsidRPr="00BB0BEE">
        <w:rPr>
          <w:rFonts w:ascii="Arial" w:eastAsia="Times New Roman" w:hAnsi="Arial" w:cs="Arial"/>
          <w:b/>
          <w:bCs/>
          <w:color w:val="000000"/>
          <w:sz w:val="24"/>
          <w:szCs w:val="20"/>
          <w:lang w:val="en-US"/>
        </w:rPr>
        <w:t>Điều 4.</w:t>
      </w:r>
    </w:p>
    <w:p w:rsidR="00BB0BEE" w:rsidRPr="00BB0BEE" w:rsidRDefault="00BB0BEE" w:rsidP="00BB0BEE">
      <w:pPr>
        <w:shd w:val="clear" w:color="auto" w:fill="FFFFFF"/>
        <w:spacing w:after="0" w:line="240" w:lineRule="auto"/>
        <w:ind w:firstLine="720"/>
        <w:jc w:val="both"/>
        <w:rPr>
          <w:rFonts w:ascii="Arial" w:eastAsia="Times New Roman" w:hAnsi="Arial" w:cs="Arial"/>
          <w:color w:val="000000"/>
          <w:sz w:val="24"/>
          <w:szCs w:val="20"/>
          <w:lang w:val="en-US"/>
        </w:rPr>
      </w:pPr>
      <w:r w:rsidRPr="00BB0BEE">
        <w:rPr>
          <w:rFonts w:ascii="Arial" w:eastAsia="Times New Roman" w:hAnsi="Arial" w:cs="Arial"/>
          <w:color w:val="000000"/>
          <w:sz w:val="24"/>
          <w:szCs w:val="20"/>
          <w:lang w:val="en-US"/>
        </w:rPr>
        <w:t>Nghị quyết này có hiệu lực thi hành kể từ ngày ký./.</w:t>
      </w:r>
    </w:p>
    <w:p w:rsidR="00BB0BEE" w:rsidRPr="00BB0BEE" w:rsidRDefault="00BB0BEE" w:rsidP="00BB0BEE">
      <w:pPr>
        <w:shd w:val="clear" w:color="auto" w:fill="FFFFFF"/>
        <w:spacing w:after="0" w:line="240" w:lineRule="auto"/>
        <w:rPr>
          <w:rFonts w:ascii="Arial" w:eastAsia="Times New Roman" w:hAnsi="Arial" w:cs="Arial"/>
          <w:color w:val="000000"/>
          <w:sz w:val="20"/>
          <w:szCs w:val="20"/>
          <w:lang w:val="en-US"/>
        </w:rPr>
      </w:pPr>
      <w:r w:rsidRPr="00BB0BEE">
        <w:rPr>
          <w:rFonts w:ascii="Arial" w:eastAsia="Times New Roman" w:hAnsi="Arial" w:cs="Arial"/>
          <w:color w:val="000000"/>
          <w:sz w:val="20"/>
          <w:szCs w:val="20"/>
          <w:lang w:val="en-US"/>
        </w:rPr>
        <w:t> </w:t>
      </w:r>
    </w:p>
    <w:tbl>
      <w:tblPr>
        <w:tblW w:w="9070" w:type="dxa"/>
        <w:tblInd w:w="108" w:type="dxa"/>
        <w:shd w:val="clear" w:color="auto" w:fill="FFFFFF"/>
        <w:tblCellMar>
          <w:left w:w="0" w:type="dxa"/>
          <w:right w:w="0" w:type="dxa"/>
        </w:tblCellMar>
        <w:tblLook w:val="04A0" w:firstRow="1" w:lastRow="0" w:firstColumn="1" w:lastColumn="0" w:noHBand="0" w:noVBand="1"/>
      </w:tblPr>
      <w:tblGrid>
        <w:gridCol w:w="4535"/>
        <w:gridCol w:w="4535"/>
      </w:tblGrid>
      <w:tr w:rsidR="00BB0BEE" w:rsidRPr="00BB0BEE" w:rsidTr="00BB0BEE">
        <w:trPr>
          <w:trHeight w:val="3300"/>
        </w:trPr>
        <w:tc>
          <w:tcPr>
            <w:tcW w:w="4535" w:type="dxa"/>
            <w:tcBorders>
              <w:top w:val="nil"/>
              <w:left w:val="nil"/>
              <w:bottom w:val="nil"/>
              <w:right w:val="nil"/>
            </w:tcBorders>
            <w:shd w:val="clear" w:color="auto" w:fill="auto"/>
            <w:tcMar>
              <w:top w:w="0" w:type="dxa"/>
              <w:left w:w="108" w:type="dxa"/>
              <w:bottom w:w="0" w:type="dxa"/>
              <w:right w:w="108" w:type="dxa"/>
            </w:tcMar>
            <w:hideMark/>
          </w:tcPr>
          <w:p w:rsidR="00BB0BEE" w:rsidRDefault="00BB0BEE" w:rsidP="00BB0BEE">
            <w:pPr>
              <w:spacing w:before="100" w:beforeAutospacing="1" w:after="100" w:afterAutospacing="1" w:line="240" w:lineRule="auto"/>
              <w:divId w:val="421991054"/>
              <w:rPr>
                <w:rFonts w:ascii="Arial" w:eastAsia="Times New Roman" w:hAnsi="Arial" w:cs="Arial"/>
                <w:b/>
                <w:bCs/>
                <w:i/>
                <w:iCs/>
                <w:color w:val="000000"/>
                <w:sz w:val="20"/>
                <w:szCs w:val="20"/>
                <w:lang w:val="en-US"/>
              </w:rPr>
            </w:pPr>
          </w:p>
          <w:p w:rsidR="00BB0BEE" w:rsidRPr="00BB0BEE" w:rsidRDefault="00BB0BEE" w:rsidP="00BB0BEE">
            <w:pPr>
              <w:spacing w:before="100" w:beforeAutospacing="1" w:after="100" w:afterAutospacing="1" w:line="240" w:lineRule="auto"/>
              <w:divId w:val="421991054"/>
              <w:rPr>
                <w:rFonts w:ascii="Arial" w:eastAsia="Times New Roman" w:hAnsi="Arial" w:cs="Arial"/>
                <w:color w:val="000000"/>
                <w:sz w:val="20"/>
                <w:szCs w:val="20"/>
                <w:lang w:val="en-US"/>
              </w:rPr>
            </w:pPr>
            <w:r w:rsidRPr="00BB0BEE">
              <w:rPr>
                <w:rFonts w:ascii="Arial" w:eastAsia="Times New Roman" w:hAnsi="Arial" w:cs="Arial"/>
                <w:b/>
                <w:bCs/>
                <w:i/>
                <w:iCs/>
                <w:color w:val="000000"/>
                <w:sz w:val="20"/>
                <w:szCs w:val="20"/>
                <w:lang w:val="en-US"/>
              </w:rPr>
              <w:t> Nơi nhận:</w:t>
            </w:r>
            <w:r w:rsidRPr="00BB0BEE">
              <w:rPr>
                <w:rFonts w:ascii="Arial" w:eastAsia="Times New Roman" w:hAnsi="Arial" w:cs="Arial"/>
                <w:b/>
                <w:bCs/>
                <w:i/>
                <w:iCs/>
                <w:color w:val="000000"/>
                <w:sz w:val="20"/>
                <w:szCs w:val="20"/>
                <w:lang w:val="en-US"/>
              </w:rPr>
              <w:br/>
            </w:r>
            <w:r w:rsidRPr="00BB0BEE">
              <w:rPr>
                <w:rFonts w:ascii="Arial" w:eastAsia="Times New Roman" w:hAnsi="Arial" w:cs="Arial"/>
                <w:color w:val="000000"/>
                <w:sz w:val="20"/>
                <w:szCs w:val="20"/>
                <w:lang w:val="en-US"/>
              </w:rPr>
              <w:t>- Như Điều 3;</w:t>
            </w:r>
            <w:r w:rsidRPr="00BB0BEE">
              <w:rPr>
                <w:rFonts w:ascii="Arial" w:eastAsia="Times New Roman" w:hAnsi="Arial" w:cs="Arial"/>
                <w:color w:val="000000"/>
                <w:sz w:val="20"/>
                <w:szCs w:val="20"/>
                <w:lang w:val="en-US"/>
              </w:rPr>
              <w:br/>
              <w:t>- Ban Bí thư TƯ Đảng;</w:t>
            </w:r>
            <w:r w:rsidRPr="00BB0BEE">
              <w:rPr>
                <w:rFonts w:ascii="Arial" w:eastAsia="Times New Roman" w:hAnsi="Arial" w:cs="Arial"/>
                <w:color w:val="000000"/>
                <w:sz w:val="20"/>
                <w:szCs w:val="20"/>
                <w:lang w:val="en-US"/>
              </w:rPr>
              <w:br/>
              <w:t>- Chính phủ;</w:t>
            </w:r>
            <w:r w:rsidRPr="00BB0BEE">
              <w:rPr>
                <w:rFonts w:ascii="Arial" w:eastAsia="Times New Roman" w:hAnsi="Arial" w:cs="Arial"/>
                <w:color w:val="000000"/>
                <w:sz w:val="20"/>
                <w:szCs w:val="20"/>
                <w:lang w:val="en-US"/>
              </w:rPr>
              <w:br/>
              <w:t>- Thủ tướng Chính phủ;</w:t>
            </w:r>
            <w:r w:rsidRPr="00BB0BEE">
              <w:rPr>
                <w:rFonts w:ascii="Arial" w:eastAsia="Times New Roman" w:hAnsi="Arial" w:cs="Arial"/>
                <w:color w:val="000000"/>
                <w:sz w:val="20"/>
                <w:szCs w:val="20"/>
                <w:lang w:val="en-US"/>
              </w:rPr>
              <w:br/>
              <w:t>- Các Bộ, cơ quan ngang Bộ;</w:t>
            </w:r>
            <w:r w:rsidRPr="00BB0BEE">
              <w:rPr>
                <w:rFonts w:ascii="Arial" w:eastAsia="Times New Roman" w:hAnsi="Arial" w:cs="Arial"/>
                <w:color w:val="000000"/>
                <w:sz w:val="20"/>
                <w:szCs w:val="20"/>
                <w:lang w:val="en-US"/>
              </w:rPr>
              <w:br/>
              <w:t>- Các cơ quan của UBTVQH;</w:t>
            </w:r>
            <w:r w:rsidRPr="00BB0BEE">
              <w:rPr>
                <w:rFonts w:ascii="Arial" w:eastAsia="Times New Roman" w:hAnsi="Arial" w:cs="Arial"/>
                <w:color w:val="000000"/>
                <w:sz w:val="20"/>
                <w:szCs w:val="20"/>
                <w:lang w:val="en-US"/>
              </w:rPr>
              <w:br/>
              <w:t>- VPTƯ Đảng, VPCP, VPCTN;</w:t>
            </w:r>
            <w:r w:rsidRPr="00BB0BEE">
              <w:rPr>
                <w:rFonts w:ascii="Arial" w:eastAsia="Times New Roman" w:hAnsi="Arial" w:cs="Arial"/>
                <w:color w:val="000000"/>
                <w:sz w:val="20"/>
                <w:szCs w:val="20"/>
                <w:lang w:val="en-US"/>
              </w:rPr>
              <w:br/>
              <w:t>- UBND các tỉnh, TP trực thuộc TƯ;</w:t>
            </w:r>
            <w:r w:rsidRPr="00BB0BEE">
              <w:rPr>
                <w:rFonts w:ascii="Arial" w:eastAsia="Times New Roman" w:hAnsi="Arial" w:cs="Arial"/>
                <w:color w:val="000000"/>
                <w:sz w:val="20"/>
                <w:szCs w:val="20"/>
                <w:lang w:val="en-US"/>
              </w:rPr>
              <w:br/>
              <w:t>- Thành viên đoàn giám sát;</w:t>
            </w:r>
            <w:r w:rsidRPr="00BB0BEE">
              <w:rPr>
                <w:rFonts w:ascii="Arial" w:eastAsia="Times New Roman" w:hAnsi="Arial" w:cs="Arial"/>
                <w:color w:val="000000"/>
                <w:sz w:val="20"/>
                <w:szCs w:val="20"/>
                <w:lang w:val="en-US"/>
              </w:rPr>
              <w:br/>
              <w:t>- Lãnh đạo VPQH;</w:t>
            </w:r>
            <w:r w:rsidRPr="00BB0BEE">
              <w:rPr>
                <w:rFonts w:ascii="Arial" w:eastAsia="Times New Roman" w:hAnsi="Arial" w:cs="Arial"/>
                <w:color w:val="000000"/>
                <w:sz w:val="20"/>
                <w:szCs w:val="20"/>
                <w:lang w:val="en-US"/>
              </w:rPr>
              <w:br/>
              <w:t>- Lưu: HC, TH, CVĐXH.</w:t>
            </w:r>
          </w:p>
        </w:tc>
        <w:tc>
          <w:tcPr>
            <w:tcW w:w="4535" w:type="dxa"/>
            <w:tcBorders>
              <w:top w:val="nil"/>
              <w:left w:val="nil"/>
              <w:bottom w:val="nil"/>
              <w:right w:val="nil"/>
            </w:tcBorders>
          </w:tcPr>
          <w:p w:rsidR="00BB0BEE" w:rsidRPr="00BB0BEE" w:rsidRDefault="00BB0BEE" w:rsidP="00BB0BEE">
            <w:pPr>
              <w:spacing w:before="100" w:beforeAutospacing="1" w:after="100" w:afterAutospacing="1" w:line="240" w:lineRule="auto"/>
              <w:jc w:val="center"/>
              <w:rPr>
                <w:rFonts w:ascii="Arial" w:eastAsia="Times New Roman" w:hAnsi="Arial" w:cs="Arial"/>
                <w:b/>
                <w:bCs/>
                <w:i/>
                <w:iCs/>
                <w:color w:val="000000"/>
                <w:sz w:val="20"/>
                <w:szCs w:val="20"/>
                <w:lang w:val="en-US"/>
              </w:rPr>
            </w:pPr>
            <w:r w:rsidRPr="00BB0BEE">
              <w:rPr>
                <w:rFonts w:ascii="Arial" w:hAnsi="Arial" w:cs="Arial"/>
                <w:b/>
                <w:bCs/>
                <w:color w:val="000000"/>
                <w:sz w:val="24"/>
                <w:szCs w:val="20"/>
                <w:shd w:val="clear" w:color="auto" w:fill="FFFFFF"/>
              </w:rPr>
              <w:t>TM. ỦY BAN THƯỜNG VỤ QUỐC HỘI</w:t>
            </w:r>
            <w:r w:rsidRPr="00BB0BEE">
              <w:rPr>
                <w:rFonts w:ascii="Arial" w:hAnsi="Arial" w:cs="Arial"/>
                <w:b/>
                <w:bCs/>
                <w:color w:val="000000"/>
                <w:sz w:val="24"/>
                <w:szCs w:val="20"/>
                <w:shd w:val="clear" w:color="auto" w:fill="FFFFFF"/>
              </w:rPr>
              <w:br/>
              <w:t>CHỦ TỊCH</w:t>
            </w:r>
            <w:r w:rsidRPr="00BB0BEE">
              <w:rPr>
                <w:rFonts w:ascii="Arial" w:hAnsi="Arial" w:cs="Arial"/>
                <w:b/>
                <w:bCs/>
                <w:color w:val="000000"/>
                <w:sz w:val="24"/>
                <w:szCs w:val="20"/>
                <w:shd w:val="clear" w:color="auto" w:fill="FFFFFF"/>
              </w:rPr>
              <w:br/>
            </w:r>
            <w:r w:rsidRPr="00BB0BEE">
              <w:rPr>
                <w:rFonts w:ascii="Arial" w:hAnsi="Arial" w:cs="Arial"/>
                <w:b/>
                <w:bCs/>
                <w:color w:val="000000"/>
                <w:sz w:val="24"/>
                <w:szCs w:val="20"/>
                <w:shd w:val="clear" w:color="auto" w:fill="FFFFFF"/>
              </w:rPr>
              <w:br/>
            </w:r>
            <w:r w:rsidRPr="00BB0BEE">
              <w:rPr>
                <w:rFonts w:ascii="Arial" w:hAnsi="Arial" w:cs="Arial"/>
                <w:b/>
                <w:bCs/>
                <w:color w:val="000000"/>
                <w:sz w:val="24"/>
                <w:szCs w:val="20"/>
                <w:shd w:val="clear" w:color="auto" w:fill="FFFFFF"/>
              </w:rPr>
              <w:br/>
            </w:r>
            <w:r w:rsidRPr="00BB0BEE">
              <w:rPr>
                <w:rFonts w:ascii="Arial" w:hAnsi="Arial" w:cs="Arial"/>
                <w:b/>
                <w:bCs/>
                <w:color w:val="000000"/>
                <w:sz w:val="24"/>
                <w:szCs w:val="20"/>
                <w:shd w:val="clear" w:color="auto" w:fill="FFFFFF"/>
              </w:rPr>
              <w:br/>
            </w:r>
            <w:r w:rsidRPr="00BB0BEE">
              <w:rPr>
                <w:rFonts w:ascii="Arial" w:hAnsi="Arial" w:cs="Arial"/>
                <w:b/>
                <w:bCs/>
                <w:color w:val="000000"/>
                <w:sz w:val="24"/>
                <w:szCs w:val="20"/>
                <w:shd w:val="clear" w:color="auto" w:fill="FFFFFF"/>
              </w:rPr>
              <w:br/>
              <w:t>Nguyễn Sinh Hùng</w:t>
            </w:r>
          </w:p>
        </w:tc>
      </w:tr>
    </w:tbl>
    <w:p w:rsidR="002A7F88" w:rsidRDefault="00BB0BEE"/>
    <w:sectPr w:rsidR="002A7F8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2E"/>
    <w:rsid w:val="0053584E"/>
    <w:rsid w:val="00BB0BEE"/>
    <w:rsid w:val="00DF17A2"/>
    <w:rsid w:val="00E411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77026-86EB-440B-A187-64C692B5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0BEE"/>
  </w:style>
  <w:style w:type="character" w:styleId="Hyperlink">
    <w:name w:val="Hyperlink"/>
    <w:basedOn w:val="DefaultParagraphFont"/>
    <w:uiPriority w:val="99"/>
    <w:semiHidden/>
    <w:unhideWhenUsed/>
    <w:rsid w:val="00BB0B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206639">
      <w:bodyDiv w:val="1"/>
      <w:marLeft w:val="0"/>
      <w:marRight w:val="0"/>
      <w:marTop w:val="0"/>
      <w:marBottom w:val="0"/>
      <w:divBdr>
        <w:top w:val="none" w:sz="0" w:space="0" w:color="auto"/>
        <w:left w:val="none" w:sz="0" w:space="0" w:color="auto"/>
        <w:bottom w:val="none" w:sz="0" w:space="0" w:color="auto"/>
        <w:right w:val="none" w:sz="0" w:space="0" w:color="auto"/>
      </w:divBdr>
      <w:divsChild>
        <w:div w:id="1481145689">
          <w:marLeft w:val="0"/>
          <w:marRight w:val="0"/>
          <w:marTop w:val="0"/>
          <w:marBottom w:val="0"/>
          <w:divBdr>
            <w:top w:val="none" w:sz="0" w:space="0" w:color="auto"/>
            <w:left w:val="none" w:sz="0" w:space="0" w:color="auto"/>
            <w:bottom w:val="none" w:sz="0" w:space="0" w:color="auto"/>
            <w:right w:val="none" w:sz="0" w:space="0" w:color="auto"/>
          </w:divBdr>
        </w:div>
        <w:div w:id="1593081545">
          <w:marLeft w:val="0"/>
          <w:marRight w:val="0"/>
          <w:marTop w:val="0"/>
          <w:marBottom w:val="0"/>
          <w:divBdr>
            <w:top w:val="none" w:sz="0" w:space="0" w:color="auto"/>
            <w:left w:val="none" w:sz="0" w:space="0" w:color="auto"/>
            <w:bottom w:val="none" w:sz="0" w:space="0" w:color="auto"/>
            <w:right w:val="none" w:sz="0" w:space="0" w:color="auto"/>
          </w:divBdr>
        </w:div>
        <w:div w:id="432242340">
          <w:marLeft w:val="0"/>
          <w:marRight w:val="0"/>
          <w:marTop w:val="0"/>
          <w:marBottom w:val="120"/>
          <w:divBdr>
            <w:top w:val="none" w:sz="0" w:space="0" w:color="auto"/>
            <w:left w:val="none" w:sz="0" w:space="0" w:color="auto"/>
            <w:bottom w:val="none" w:sz="0" w:space="0" w:color="auto"/>
            <w:right w:val="none" w:sz="0" w:space="0" w:color="auto"/>
          </w:divBdr>
        </w:div>
        <w:div w:id="59401222">
          <w:marLeft w:val="0"/>
          <w:marRight w:val="0"/>
          <w:marTop w:val="0"/>
          <w:marBottom w:val="120"/>
          <w:divBdr>
            <w:top w:val="none" w:sz="0" w:space="0" w:color="auto"/>
            <w:left w:val="none" w:sz="0" w:space="0" w:color="auto"/>
            <w:bottom w:val="none" w:sz="0" w:space="0" w:color="auto"/>
            <w:right w:val="none" w:sz="0" w:space="0" w:color="auto"/>
          </w:divBdr>
        </w:div>
        <w:div w:id="1714037311">
          <w:marLeft w:val="0"/>
          <w:marRight w:val="0"/>
          <w:marTop w:val="0"/>
          <w:marBottom w:val="120"/>
          <w:divBdr>
            <w:top w:val="none" w:sz="0" w:space="0" w:color="auto"/>
            <w:left w:val="none" w:sz="0" w:space="0" w:color="auto"/>
            <w:bottom w:val="none" w:sz="0" w:space="0" w:color="auto"/>
            <w:right w:val="none" w:sz="0" w:space="0" w:color="auto"/>
          </w:divBdr>
        </w:div>
        <w:div w:id="1698197818">
          <w:marLeft w:val="0"/>
          <w:marRight w:val="0"/>
          <w:marTop w:val="0"/>
          <w:marBottom w:val="120"/>
          <w:divBdr>
            <w:top w:val="none" w:sz="0" w:space="0" w:color="auto"/>
            <w:left w:val="none" w:sz="0" w:space="0" w:color="auto"/>
            <w:bottom w:val="none" w:sz="0" w:space="0" w:color="auto"/>
            <w:right w:val="none" w:sz="0" w:space="0" w:color="auto"/>
          </w:divBdr>
        </w:div>
        <w:div w:id="1916089654">
          <w:marLeft w:val="0"/>
          <w:marRight w:val="0"/>
          <w:marTop w:val="0"/>
          <w:marBottom w:val="0"/>
          <w:divBdr>
            <w:top w:val="none" w:sz="0" w:space="0" w:color="auto"/>
            <w:left w:val="none" w:sz="0" w:space="0" w:color="auto"/>
            <w:bottom w:val="none" w:sz="0" w:space="0" w:color="auto"/>
            <w:right w:val="none" w:sz="0" w:space="0" w:color="auto"/>
          </w:divBdr>
        </w:div>
        <w:div w:id="1661495487">
          <w:marLeft w:val="0"/>
          <w:marRight w:val="0"/>
          <w:marTop w:val="0"/>
          <w:marBottom w:val="0"/>
          <w:divBdr>
            <w:top w:val="none" w:sz="0" w:space="0" w:color="auto"/>
            <w:left w:val="none" w:sz="0" w:space="0" w:color="auto"/>
            <w:bottom w:val="none" w:sz="0" w:space="0" w:color="auto"/>
            <w:right w:val="none" w:sz="0" w:space="0" w:color="auto"/>
          </w:divBdr>
        </w:div>
        <w:div w:id="373426088">
          <w:marLeft w:val="0"/>
          <w:marRight w:val="0"/>
          <w:marTop w:val="0"/>
          <w:marBottom w:val="120"/>
          <w:divBdr>
            <w:top w:val="none" w:sz="0" w:space="0" w:color="auto"/>
            <w:left w:val="none" w:sz="0" w:space="0" w:color="auto"/>
            <w:bottom w:val="none" w:sz="0" w:space="0" w:color="auto"/>
            <w:right w:val="none" w:sz="0" w:space="0" w:color="auto"/>
          </w:divBdr>
        </w:div>
        <w:div w:id="1190794972">
          <w:marLeft w:val="0"/>
          <w:marRight w:val="0"/>
          <w:marTop w:val="0"/>
          <w:marBottom w:val="120"/>
          <w:divBdr>
            <w:top w:val="none" w:sz="0" w:space="0" w:color="auto"/>
            <w:left w:val="none" w:sz="0" w:space="0" w:color="auto"/>
            <w:bottom w:val="none" w:sz="0" w:space="0" w:color="auto"/>
            <w:right w:val="none" w:sz="0" w:space="0" w:color="auto"/>
          </w:divBdr>
        </w:div>
        <w:div w:id="2070572733">
          <w:marLeft w:val="0"/>
          <w:marRight w:val="0"/>
          <w:marTop w:val="0"/>
          <w:marBottom w:val="120"/>
          <w:divBdr>
            <w:top w:val="none" w:sz="0" w:space="0" w:color="auto"/>
            <w:left w:val="none" w:sz="0" w:space="0" w:color="auto"/>
            <w:bottom w:val="none" w:sz="0" w:space="0" w:color="auto"/>
            <w:right w:val="none" w:sz="0" w:space="0" w:color="auto"/>
          </w:divBdr>
        </w:div>
        <w:div w:id="1771655309">
          <w:marLeft w:val="0"/>
          <w:marRight w:val="0"/>
          <w:marTop w:val="0"/>
          <w:marBottom w:val="120"/>
          <w:divBdr>
            <w:top w:val="none" w:sz="0" w:space="0" w:color="auto"/>
            <w:left w:val="none" w:sz="0" w:space="0" w:color="auto"/>
            <w:bottom w:val="none" w:sz="0" w:space="0" w:color="auto"/>
            <w:right w:val="none" w:sz="0" w:space="0" w:color="auto"/>
          </w:divBdr>
        </w:div>
        <w:div w:id="1580287071">
          <w:marLeft w:val="0"/>
          <w:marRight w:val="0"/>
          <w:marTop w:val="0"/>
          <w:marBottom w:val="120"/>
          <w:divBdr>
            <w:top w:val="none" w:sz="0" w:space="0" w:color="auto"/>
            <w:left w:val="none" w:sz="0" w:space="0" w:color="auto"/>
            <w:bottom w:val="none" w:sz="0" w:space="0" w:color="auto"/>
            <w:right w:val="none" w:sz="0" w:space="0" w:color="auto"/>
          </w:divBdr>
        </w:div>
        <w:div w:id="283659865">
          <w:marLeft w:val="0"/>
          <w:marRight w:val="0"/>
          <w:marTop w:val="0"/>
          <w:marBottom w:val="120"/>
          <w:divBdr>
            <w:top w:val="none" w:sz="0" w:space="0" w:color="auto"/>
            <w:left w:val="none" w:sz="0" w:space="0" w:color="auto"/>
            <w:bottom w:val="none" w:sz="0" w:space="0" w:color="auto"/>
            <w:right w:val="none" w:sz="0" w:space="0" w:color="auto"/>
          </w:divBdr>
        </w:div>
        <w:div w:id="1474830185">
          <w:marLeft w:val="0"/>
          <w:marRight w:val="0"/>
          <w:marTop w:val="0"/>
          <w:marBottom w:val="120"/>
          <w:divBdr>
            <w:top w:val="none" w:sz="0" w:space="0" w:color="auto"/>
            <w:left w:val="none" w:sz="0" w:space="0" w:color="auto"/>
            <w:bottom w:val="none" w:sz="0" w:space="0" w:color="auto"/>
            <w:right w:val="none" w:sz="0" w:space="0" w:color="auto"/>
          </w:divBdr>
        </w:div>
        <w:div w:id="509949935">
          <w:marLeft w:val="0"/>
          <w:marRight w:val="0"/>
          <w:marTop w:val="0"/>
          <w:marBottom w:val="120"/>
          <w:divBdr>
            <w:top w:val="none" w:sz="0" w:space="0" w:color="auto"/>
            <w:left w:val="none" w:sz="0" w:space="0" w:color="auto"/>
            <w:bottom w:val="none" w:sz="0" w:space="0" w:color="auto"/>
            <w:right w:val="none" w:sz="0" w:space="0" w:color="auto"/>
          </w:divBdr>
        </w:div>
        <w:div w:id="1812407612">
          <w:marLeft w:val="0"/>
          <w:marRight w:val="0"/>
          <w:marTop w:val="0"/>
          <w:marBottom w:val="120"/>
          <w:divBdr>
            <w:top w:val="none" w:sz="0" w:space="0" w:color="auto"/>
            <w:left w:val="none" w:sz="0" w:space="0" w:color="auto"/>
            <w:bottom w:val="none" w:sz="0" w:space="0" w:color="auto"/>
            <w:right w:val="none" w:sz="0" w:space="0" w:color="auto"/>
          </w:divBdr>
        </w:div>
        <w:div w:id="2117554025">
          <w:marLeft w:val="0"/>
          <w:marRight w:val="0"/>
          <w:marTop w:val="0"/>
          <w:marBottom w:val="120"/>
          <w:divBdr>
            <w:top w:val="none" w:sz="0" w:space="0" w:color="auto"/>
            <w:left w:val="none" w:sz="0" w:space="0" w:color="auto"/>
            <w:bottom w:val="none" w:sz="0" w:space="0" w:color="auto"/>
            <w:right w:val="none" w:sz="0" w:space="0" w:color="auto"/>
          </w:divBdr>
        </w:div>
        <w:div w:id="2125613387">
          <w:marLeft w:val="0"/>
          <w:marRight w:val="0"/>
          <w:marTop w:val="0"/>
          <w:marBottom w:val="120"/>
          <w:divBdr>
            <w:top w:val="none" w:sz="0" w:space="0" w:color="auto"/>
            <w:left w:val="none" w:sz="0" w:space="0" w:color="auto"/>
            <w:bottom w:val="none" w:sz="0" w:space="0" w:color="auto"/>
            <w:right w:val="none" w:sz="0" w:space="0" w:color="auto"/>
          </w:divBdr>
        </w:div>
        <w:div w:id="1734229736">
          <w:marLeft w:val="0"/>
          <w:marRight w:val="0"/>
          <w:marTop w:val="0"/>
          <w:marBottom w:val="120"/>
          <w:divBdr>
            <w:top w:val="none" w:sz="0" w:space="0" w:color="auto"/>
            <w:left w:val="none" w:sz="0" w:space="0" w:color="auto"/>
            <w:bottom w:val="none" w:sz="0" w:space="0" w:color="auto"/>
            <w:right w:val="none" w:sz="0" w:space="0" w:color="auto"/>
          </w:divBdr>
        </w:div>
        <w:div w:id="1658459449">
          <w:marLeft w:val="0"/>
          <w:marRight w:val="0"/>
          <w:marTop w:val="0"/>
          <w:marBottom w:val="120"/>
          <w:divBdr>
            <w:top w:val="none" w:sz="0" w:space="0" w:color="auto"/>
            <w:left w:val="none" w:sz="0" w:space="0" w:color="auto"/>
            <w:bottom w:val="none" w:sz="0" w:space="0" w:color="auto"/>
            <w:right w:val="none" w:sz="0" w:space="0" w:color="auto"/>
          </w:divBdr>
        </w:div>
        <w:div w:id="856650196">
          <w:marLeft w:val="0"/>
          <w:marRight w:val="0"/>
          <w:marTop w:val="0"/>
          <w:marBottom w:val="120"/>
          <w:divBdr>
            <w:top w:val="none" w:sz="0" w:space="0" w:color="auto"/>
            <w:left w:val="none" w:sz="0" w:space="0" w:color="auto"/>
            <w:bottom w:val="none" w:sz="0" w:space="0" w:color="auto"/>
            <w:right w:val="none" w:sz="0" w:space="0" w:color="auto"/>
          </w:divBdr>
        </w:div>
        <w:div w:id="1876503191">
          <w:marLeft w:val="0"/>
          <w:marRight w:val="0"/>
          <w:marTop w:val="0"/>
          <w:marBottom w:val="0"/>
          <w:divBdr>
            <w:top w:val="none" w:sz="0" w:space="0" w:color="auto"/>
            <w:left w:val="none" w:sz="0" w:space="0" w:color="auto"/>
            <w:bottom w:val="none" w:sz="0" w:space="0" w:color="auto"/>
            <w:right w:val="none" w:sz="0" w:space="0" w:color="auto"/>
          </w:divBdr>
        </w:div>
        <w:div w:id="2078938594">
          <w:marLeft w:val="0"/>
          <w:marRight w:val="0"/>
          <w:marTop w:val="0"/>
          <w:marBottom w:val="0"/>
          <w:divBdr>
            <w:top w:val="none" w:sz="0" w:space="0" w:color="auto"/>
            <w:left w:val="none" w:sz="0" w:space="0" w:color="auto"/>
            <w:bottom w:val="none" w:sz="0" w:space="0" w:color="auto"/>
            <w:right w:val="none" w:sz="0" w:space="0" w:color="auto"/>
          </w:divBdr>
        </w:div>
        <w:div w:id="421991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7B078D-CFD2-48B8-A861-32513C80A870}"/>
</file>

<file path=customXml/itemProps2.xml><?xml version="1.0" encoding="utf-8"?>
<ds:datastoreItem xmlns:ds="http://schemas.openxmlformats.org/officeDocument/2006/customXml" ds:itemID="{F91E320E-E5CB-483C-B742-8CA185399AAA}"/>
</file>

<file path=customXml/itemProps3.xml><?xml version="1.0" encoding="utf-8"?>
<ds:datastoreItem xmlns:ds="http://schemas.openxmlformats.org/officeDocument/2006/customXml" ds:itemID="{FECE140A-9662-401D-A076-A370ABD224CA}"/>
</file>

<file path=docProps/app.xml><?xml version="1.0" encoding="utf-8"?>
<Properties xmlns="http://schemas.openxmlformats.org/officeDocument/2006/extended-properties" xmlns:vt="http://schemas.openxmlformats.org/officeDocument/2006/docPropsVTypes">
  <Template>Normal.dotm</Template>
  <TotalTime>6</TotalTime>
  <Pages>1</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anhdt</dc:creator>
  <cp:keywords/>
  <dc:description/>
  <cp:lastModifiedBy>anhdt</cp:lastModifiedBy>
  <cp:revision>3</cp:revision>
  <dcterms:created xsi:type="dcterms:W3CDTF">2016-12-04T21:20:00Z</dcterms:created>
  <dcterms:modified xsi:type="dcterms:W3CDTF">2016-12-04T21:26:00Z</dcterms:modified>
</cp:coreProperties>
</file>